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宋体" w:hAnsi="宋体" w:eastAsia="方正黑体_GBK" w:cs="方正黑体_GBK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宋体" w:hAnsi="宋体" w:eastAsia="方正黑体_GBK" w:cs="方正黑体_GBK"/>
          <w:b w:val="0"/>
          <w:bCs w:val="0"/>
          <w:sz w:val="32"/>
          <w:szCs w:val="32"/>
          <w:lang w:val="en-US" w:eastAsia="zh-CN"/>
        </w:rPr>
        <w:t>附件</w:t>
      </w:r>
    </w:p>
    <w:p>
      <w:pPr>
        <w:jc w:val="center"/>
        <w:rPr>
          <w:rFonts w:hint="eastAsia" w:ascii="宋体" w:hAnsi="宋体" w:eastAsia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方正小标宋_GBK"/>
          <w:b w:val="0"/>
          <w:bCs w:val="0"/>
          <w:sz w:val="32"/>
          <w:szCs w:val="32"/>
          <w:lang w:val="en-US" w:eastAsia="zh-CN"/>
        </w:rPr>
        <w:t>云南省高速公路路域环境综合整治评价评分标准  （100分）</w:t>
      </w:r>
    </w:p>
    <w:tbl>
      <w:tblPr>
        <w:tblStyle w:val="7"/>
        <w:tblW w:w="1351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2"/>
        <w:gridCol w:w="1527"/>
        <w:gridCol w:w="2633"/>
        <w:gridCol w:w="940"/>
        <w:gridCol w:w="6516"/>
        <w:gridCol w:w="10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  <w:jc w:val="center"/>
        </w:trPr>
        <w:tc>
          <w:tcPr>
            <w:tcW w:w="862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527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考核项目</w:t>
            </w:r>
          </w:p>
        </w:tc>
        <w:tc>
          <w:tcPr>
            <w:tcW w:w="2633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考核要求</w:t>
            </w:r>
          </w:p>
        </w:tc>
        <w:tc>
          <w:tcPr>
            <w:tcW w:w="940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分数</w:t>
            </w:r>
          </w:p>
        </w:tc>
        <w:tc>
          <w:tcPr>
            <w:tcW w:w="6516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评分细则</w:t>
            </w:r>
          </w:p>
        </w:tc>
        <w:tc>
          <w:tcPr>
            <w:tcW w:w="1040" w:type="dxa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2" w:hRule="atLeast"/>
          <w:jc w:val="center"/>
        </w:trPr>
        <w:tc>
          <w:tcPr>
            <w:tcW w:w="8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</w:t>
            </w:r>
          </w:p>
        </w:tc>
        <w:tc>
          <w:tcPr>
            <w:tcW w:w="15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公路设施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维护</w:t>
            </w:r>
          </w:p>
        </w:tc>
        <w:tc>
          <w:tcPr>
            <w:tcW w:w="2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路面平整，无坑塘、沉陷、车辙等病害，无桥头跳车现象</w:t>
            </w:r>
          </w:p>
        </w:tc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6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正常行车时发现有明显感觉的坑塘、沉陷、车辙以及桥头跳车，未及时处理的，每处扣0.5分，扣完为止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15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</w:p>
        </w:tc>
        <w:tc>
          <w:tcPr>
            <w:tcW w:w="2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公路设施损坏修复及时</w:t>
            </w:r>
          </w:p>
        </w:tc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10</w:t>
            </w:r>
          </w:p>
        </w:tc>
        <w:tc>
          <w:tcPr>
            <w:tcW w:w="6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护栏、防眩板、隔音屏、防落网、隔离栅、上挡墙、边沟及盖板和路缘石等公路设施有残缺、损坏的，未及时修复的，每处扣0.5分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，扣完为止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定期清洗公路设施，确保干净整洁</w:t>
            </w:r>
          </w:p>
        </w:tc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6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right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护栏、防眩板、隔音屏等公路设施应每个季度清洗一次，发现未清洗的，一次扣1分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，扣完为止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8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路面管控</w:t>
            </w:r>
          </w:p>
        </w:tc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6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right="0" w:rightChars="0"/>
              <w:jc w:val="both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路面有障碍物，影响行车安全，未及时清理的，</w:t>
            </w: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每处扣0.5分，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扣完为止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152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公路沿线保洁</w:t>
            </w:r>
          </w:p>
        </w:tc>
        <w:tc>
          <w:tcPr>
            <w:tcW w:w="2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  <w:t>路面无垃圾、无浮石、浮沙、无灰尘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堆积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  <w:t>，事故现场清理及时</w:t>
            </w:r>
          </w:p>
        </w:tc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6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发现路面有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  <w:t>垃圾、浮石、浮沙、灰尘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堆积、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  <w:t>事故现场遗留物，未及时清扫的，</w:t>
            </w: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每处扣0.5分，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扣完为止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排水设施畅通,无堵塞</w:t>
            </w:r>
          </w:p>
        </w:tc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6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路基边沟、路侧排水沟有堵塞的，每处扣0.5分，扣完为止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2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公路用地范围内无生活垃圾、建筑垃圾</w:t>
            </w:r>
          </w:p>
        </w:tc>
        <w:tc>
          <w:tcPr>
            <w:tcW w:w="9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651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发现道路、桥梁、隧道区域存在生活垃圾、杂物堆积，未及时清理的，每处扣0.5分</w:t>
            </w:r>
          </w:p>
        </w:tc>
        <w:tc>
          <w:tcPr>
            <w:tcW w:w="10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300" w:lineRule="exact"/>
              <w:ind w:leftChars="0" w:right="0" w:right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="宋体" w:hAnsi="宋体" w:eastAsia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方正仿宋_GBK"/>
          <w:b w:val="0"/>
          <w:bCs w:val="0"/>
          <w:sz w:val="24"/>
          <w:szCs w:val="24"/>
          <w:lang w:val="en-US" w:eastAsia="zh-CN"/>
        </w:rPr>
        <w:br w:type="page"/>
      </w:r>
    </w:p>
    <w:p>
      <w:pPr>
        <w:jc w:val="center"/>
        <w:rPr>
          <w:rFonts w:hint="eastAsia" w:ascii="宋体" w:hAnsi="宋体" w:eastAsia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方正小标宋_GBK"/>
          <w:b w:val="0"/>
          <w:bCs w:val="0"/>
          <w:sz w:val="32"/>
          <w:szCs w:val="32"/>
          <w:lang w:val="en-US" w:eastAsia="zh-CN"/>
        </w:rPr>
        <w:t>云南省高速公路路域环境综合整治评价评分标准  （100分）</w:t>
      </w:r>
    </w:p>
    <w:tbl>
      <w:tblPr>
        <w:tblStyle w:val="7"/>
        <w:tblW w:w="1388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68"/>
        <w:gridCol w:w="1537"/>
        <w:gridCol w:w="2650"/>
        <w:gridCol w:w="1134"/>
        <w:gridCol w:w="6558"/>
        <w:gridCol w:w="11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53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考核项目</w:t>
            </w:r>
          </w:p>
        </w:tc>
        <w:tc>
          <w:tcPr>
            <w:tcW w:w="2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考核要求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分数</w:t>
            </w:r>
          </w:p>
        </w:tc>
        <w:tc>
          <w:tcPr>
            <w:tcW w:w="6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评分细则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隧道设施管理</w:t>
            </w:r>
          </w:p>
        </w:tc>
        <w:tc>
          <w:tcPr>
            <w:tcW w:w="2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隧道内按规定设置反光环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6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没有设置的，发现一处扣1分，扣完为止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隧道内灯光照明照度符合要求,通风设备工作正常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6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非电力原因不按规范打开照明、通风设施的，发现一起扣1分，扣完为止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隧道内壁粘贴瓷砖的应及时清洗和修复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6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发现一处破损和清洗不及时的，扣1分，扣完为止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重新装修不得使用瓷砖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6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发现一处扣1分，扣完为止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渗水应有效处理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6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发现一处扣1分，扣完为止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8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4</w:t>
            </w:r>
          </w:p>
        </w:tc>
        <w:tc>
          <w:tcPr>
            <w:tcW w:w="1537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公路沿线绿化</w:t>
            </w:r>
          </w:p>
        </w:tc>
        <w:tc>
          <w:tcPr>
            <w:tcW w:w="2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公路产权内宜绿化空地用绿化覆盖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6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发现沿线路侧绿化带缺株断档部分未补植的，每处扣0.2分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公路产权内</w:t>
            </w: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发现面积超过10平方米的空地、黄土裸露区域，未补植地被覆盖的，每处扣0.5分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，扣完为止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  <w:jc w:val="center"/>
        </w:trPr>
        <w:tc>
          <w:tcPr>
            <w:tcW w:w="868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537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65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立交区、隧道口打造景观</w:t>
            </w:r>
          </w:p>
        </w:tc>
        <w:tc>
          <w:tcPr>
            <w:tcW w:w="113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655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公路沿线立交区、隧道口三角区没有打造绿化景观的，每处扣1分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，扣完为止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</w:tbl>
    <w:p>
      <w:pPr>
        <w:jc w:val="center"/>
        <w:rPr>
          <w:rFonts w:hint="eastAsia" w:ascii="宋体" w:hAnsi="宋体" w:eastAsia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方正仿宋_GBK"/>
          <w:b w:val="0"/>
          <w:bCs w:val="0"/>
          <w:sz w:val="24"/>
          <w:szCs w:val="24"/>
          <w:lang w:val="en-US" w:eastAsia="zh-CN"/>
        </w:rPr>
        <w:br w:type="page"/>
      </w:r>
    </w:p>
    <w:p>
      <w:pPr>
        <w:jc w:val="center"/>
        <w:rPr>
          <w:rFonts w:hint="eastAsia" w:ascii="宋体" w:hAnsi="宋体" w:eastAsia="方正小标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方正小标宋_GBK"/>
          <w:b w:val="0"/>
          <w:bCs w:val="0"/>
          <w:sz w:val="32"/>
          <w:szCs w:val="32"/>
          <w:lang w:val="en-US" w:eastAsia="zh-CN"/>
        </w:rPr>
        <w:t>云南省高速公路路域环境综合整治评价评分标准  （100分）</w:t>
      </w:r>
    </w:p>
    <w:tbl>
      <w:tblPr>
        <w:tblStyle w:val="7"/>
        <w:tblW w:w="1360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486"/>
        <w:gridCol w:w="2803"/>
        <w:gridCol w:w="1066"/>
        <w:gridCol w:w="6346"/>
        <w:gridCol w:w="1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考核项目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考核要求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分数</w:t>
            </w:r>
          </w:p>
        </w:tc>
        <w:tc>
          <w:tcPr>
            <w:tcW w:w="6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评分细则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14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标志标线标牌管理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标志标牌设置合理、规范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6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发现不规范的标志标牌，每处扣1分，扣完为止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标志标线标牌清晰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6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1.发现标志标牌</w:t>
            </w: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损坏、污染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，未及时处理的，每处扣1分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2.发现标线模糊、</w:t>
            </w: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残缺的，</w:t>
            </w: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每处扣1分，扣完为止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  <w:t>规范设置旅游标志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</w:t>
            </w:r>
          </w:p>
        </w:tc>
        <w:tc>
          <w:tcPr>
            <w:tcW w:w="6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应按规范对3A级及以上景区设置指示牌，发现未设置的，一处扣0.5分，扣完为止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0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6</w:t>
            </w:r>
          </w:p>
        </w:tc>
        <w:tc>
          <w:tcPr>
            <w:tcW w:w="148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服务设施环境卫生管理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服务设施环境干净整洁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63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发现服务区、收费站等服务设施内场地未及时清扫、垃圾堆积的，每处扣0.5分，扣完为止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服务设施功能完好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63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发现服务区、停车区和加水站内服务功能设施配备损坏，未及时修复的，发生一起扣1分，扣完为止 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服务设施秩序良好，无乱停乱放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63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发现服务区、停车区和加水站内车辆乱停乱放的，发现一次扣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0.5</w:t>
            </w: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分，扣完为止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认真落实卫生间三有三无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63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发现卫生间有臭味、有蚊蝇、地面有水渍，未配手纸、未配洗手液、未配香薰的，每次扣0.5分，扣完为止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840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148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服务设施绿化绿化率达标，管理维护良好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3</w:t>
            </w:r>
          </w:p>
        </w:tc>
        <w:tc>
          <w:tcPr>
            <w:tcW w:w="6346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1.沿线服务区绿化面积低于25%、停车区绿化面积低于20%的，发现一处扣0.5分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center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 w:cs="方正仿宋_GBK"/>
                <w:b w:val="0"/>
                <w:bCs w:val="0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2.服务区绿化管养不到位，绿化植株枯死的，每处扣0.5分，扣完为止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</w:p>
        </w:tc>
      </w:tr>
    </w:tbl>
    <w:p>
      <w:pPr>
        <w:jc w:val="center"/>
        <w:rPr>
          <w:rFonts w:hint="eastAsia" w:ascii="宋体" w:hAnsi="宋体" w:eastAsia="方正黑体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宋体" w:hAnsi="宋体" w:eastAsia="方正黑体_GBK"/>
          <w:b w:val="0"/>
          <w:bCs w:val="0"/>
          <w:sz w:val="32"/>
          <w:szCs w:val="32"/>
          <w:lang w:val="en-US" w:eastAsia="zh-CN"/>
        </w:rPr>
        <w:t>云南省高速公路路域环境综合整治评价评分标准  （100分）</w:t>
      </w:r>
    </w:p>
    <w:tbl>
      <w:tblPr>
        <w:tblStyle w:val="7"/>
        <w:tblpPr w:leftFromText="180" w:rightFromText="180" w:vertAnchor="text" w:horzAnchor="page" w:tblpX="1723" w:tblpY="144"/>
        <w:tblOverlap w:val="never"/>
        <w:tblW w:w="1360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1486"/>
        <w:gridCol w:w="2803"/>
        <w:gridCol w:w="1066"/>
        <w:gridCol w:w="6346"/>
        <w:gridCol w:w="10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序号</w:t>
            </w:r>
          </w:p>
        </w:tc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考核项目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考核要求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分数</w:t>
            </w:r>
          </w:p>
        </w:tc>
        <w:tc>
          <w:tcPr>
            <w:tcW w:w="6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评分细则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lang w:val="en-US" w:eastAsia="zh-CN"/>
              </w:rPr>
              <w:t>得分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</w:trPr>
        <w:tc>
          <w:tcPr>
            <w:tcW w:w="8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7</w:t>
            </w:r>
          </w:p>
        </w:tc>
        <w:tc>
          <w:tcPr>
            <w:tcW w:w="148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/>
                <w:b w:val="0"/>
                <w:bCs w:val="0"/>
                <w:sz w:val="22"/>
                <w:szCs w:val="22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入口称重管理</w:t>
            </w:r>
          </w:p>
        </w:tc>
        <w:tc>
          <w:tcPr>
            <w:tcW w:w="280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无违法超限超载车辆驶入高速公路</w:t>
            </w:r>
          </w:p>
        </w:tc>
        <w:tc>
          <w:tcPr>
            <w:tcW w:w="10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5</w:t>
            </w:r>
          </w:p>
        </w:tc>
        <w:tc>
          <w:tcPr>
            <w:tcW w:w="63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1.因设备和系统原因导致违法超限超载车辆驶入高速公路的，发现一起扣1分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Chars="0" w:right="0" w:rightChars="0"/>
              <w:jc w:val="both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  <w:t>2.不经检测或人工识别违规放行一辆违法超限超载车辆驶入高速公路，扣5分</w:t>
            </w:r>
          </w:p>
        </w:tc>
        <w:tc>
          <w:tcPr>
            <w:tcW w:w="10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宋体" w:hAnsi="宋体" w:eastAsia="方正仿宋_GBK"/>
                <w:b w:val="0"/>
                <w:bCs w:val="0"/>
                <w:sz w:val="22"/>
                <w:szCs w:val="22"/>
                <w:vertAlign w:val="baseline"/>
                <w:lang w:val="en-US" w:eastAsia="zh-CN"/>
              </w:rPr>
            </w:pPr>
          </w:p>
        </w:tc>
      </w:tr>
    </w:tbl>
    <w:p>
      <w:pPr>
        <w:ind w:firstLine="2880" w:firstLineChars="1200"/>
        <w:rPr>
          <w:rFonts w:hint="eastAsia" w:ascii="宋体" w:hAnsi="宋体" w:eastAsia="方正仿宋_GBK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宋体" w:hAnsi="宋体" w:eastAsia="方正仿宋_GBK"/>
          <w:b w:val="0"/>
          <w:bCs w:val="0"/>
          <w:sz w:val="24"/>
          <w:szCs w:val="24"/>
          <w:lang w:val="en-US" w:eastAsia="zh-CN"/>
        </w:rPr>
        <w:t xml:space="preserve">                                </w:t>
      </w:r>
    </w:p>
    <w:p>
      <w:pPr>
        <w:rPr>
          <w:rFonts w:ascii="宋体" w:hAnsi="宋体"/>
          <w:b w:val="0"/>
          <w:bCs w:val="0"/>
        </w:rPr>
      </w:pPr>
    </w:p>
    <w:sectPr>
      <w:headerReference r:id="rId3" w:type="default"/>
      <w:footerReference r:id="rId5" w:type="default"/>
      <w:headerReference r:id="rId4" w:type="even"/>
      <w:footerReference r:id="rId6" w:type="even"/>
      <w:pgSz w:w="16838" w:h="11906" w:orient="landscape"/>
      <w:pgMar w:top="1587" w:right="2098" w:bottom="1474" w:left="2013" w:header="851" w:footer="1559" w:gutter="0"/>
      <w:pgNumType w:fmt="numberInDash"/>
      <w:cols w:space="720" w:num="1"/>
      <w:rtlGutter w:val="0"/>
      <w:docGrid w:type="lines" w:linePitch="42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  <w:rPr>
        <w:rFonts w:hint="eastAsia"/>
        <w:szCs w:val="2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="仿宋_GB2312"/>
                              <w:sz w:val="21"/>
                              <w:szCs w:val="36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sz w:val="21"/>
                              <w:szCs w:val="36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1"/>
                              <w:szCs w:val="36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1"/>
                              <w:szCs w:val="36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1"/>
                              <w:szCs w:val="36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sz w:val="21"/>
                              <w:szCs w:val="36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="仿宋_GB2312"/>
                        <w:sz w:val="21"/>
                        <w:szCs w:val="36"/>
                        <w:lang w:eastAsia="zh-CN"/>
                      </w:rPr>
                    </w:pPr>
                    <w:r>
                      <w:rPr>
                        <w:rFonts w:hint="eastAsia"/>
                        <w:sz w:val="21"/>
                        <w:szCs w:val="36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1"/>
                        <w:szCs w:val="36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1"/>
                        <w:szCs w:val="36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1"/>
                        <w:szCs w:val="36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sz w:val="21"/>
                        <w:szCs w:val="36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right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3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BBAE67"/>
    <w:multiLevelType w:val="singleLevel"/>
    <w:tmpl w:val="5EBBAE67"/>
    <w:lvl w:ilvl="0" w:tentative="0">
      <w:start w:val="1"/>
      <w:numFmt w:val="decimal"/>
      <w:suff w:val="nothing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F4F4B34"/>
    <w:rsid w:val="004B5CE4"/>
    <w:rsid w:val="0A244DF4"/>
    <w:rsid w:val="0AFC304B"/>
    <w:rsid w:val="0B2A5CC4"/>
    <w:rsid w:val="0D350B66"/>
    <w:rsid w:val="0EFD4B5C"/>
    <w:rsid w:val="0F5D1B17"/>
    <w:rsid w:val="10EF4B25"/>
    <w:rsid w:val="13A57D06"/>
    <w:rsid w:val="18B02940"/>
    <w:rsid w:val="19F276D7"/>
    <w:rsid w:val="24AF0A3B"/>
    <w:rsid w:val="280207F9"/>
    <w:rsid w:val="29771932"/>
    <w:rsid w:val="2CF06C75"/>
    <w:rsid w:val="2D001731"/>
    <w:rsid w:val="2DB44135"/>
    <w:rsid w:val="2F4F4B34"/>
    <w:rsid w:val="2FB26694"/>
    <w:rsid w:val="303C1AB4"/>
    <w:rsid w:val="32650F63"/>
    <w:rsid w:val="36CF7C8C"/>
    <w:rsid w:val="37B10EEC"/>
    <w:rsid w:val="41ED129A"/>
    <w:rsid w:val="42BA5CB9"/>
    <w:rsid w:val="45E46F14"/>
    <w:rsid w:val="49A71EFE"/>
    <w:rsid w:val="4D8209BC"/>
    <w:rsid w:val="59041CDF"/>
    <w:rsid w:val="62535FFC"/>
    <w:rsid w:val="65EA5CB0"/>
    <w:rsid w:val="68850D23"/>
    <w:rsid w:val="726B38FB"/>
    <w:rsid w:val="734C0732"/>
    <w:rsid w:val="738A3E65"/>
    <w:rsid w:val="76203BA6"/>
    <w:rsid w:val="776C12A7"/>
    <w:rsid w:val="79AC7819"/>
  </w:rsids>
  <m:mathPr>
    <m:lMargin m:val="0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0"/>
      <w:szCs w:val="30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8">
    <w:name w:val="公文正文"/>
    <w:qFormat/>
    <w:uiPriority w:val="0"/>
    <w:rPr>
      <w:rFonts w:eastAsia="方正仿宋_GBK" w:asciiTheme="minorAscii" w:hAnsiTheme="minorAscii" w:cstheme="minorBidi"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云南省交通运输厅</Company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2020-05-13T07:29:00Z</dcterms:created>
  <dc:creator>lenovo</dc:creator>
  <cp:lastModifiedBy>李朴仙</cp:lastModifiedBy>
  <cp:lastPrinted>2020-05-25T08:45:00Z</cp:lastPrinted>
  <dcterms:modified xsi:type="dcterms:W3CDTF">2020-06-08T01:06:00Z</dcterms:modified>
  <dc:title>附件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